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</w:t>
      </w:r>
      <w:r w:rsidR="007B0547">
        <w:rPr>
          <w:rFonts w:ascii="Times New Roman" w:hAnsi="Times New Roman"/>
          <w:sz w:val="28"/>
          <w:szCs w:val="28"/>
        </w:rPr>
        <w:t>4</w:t>
      </w:r>
      <w:r w:rsidRPr="007864DE">
        <w:rPr>
          <w:rFonts w:ascii="Times New Roman" w:hAnsi="Times New Roman"/>
          <w:sz w:val="28"/>
          <w:szCs w:val="28"/>
        </w:rPr>
        <w:t>-202</w:t>
      </w:r>
      <w:r w:rsidR="007B0547">
        <w:rPr>
          <w:rFonts w:ascii="Times New Roman" w:hAnsi="Times New Roman"/>
          <w:sz w:val="28"/>
          <w:szCs w:val="28"/>
        </w:rPr>
        <w:t>6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/>
      </w:tblPr>
      <w:tblGrid>
        <w:gridCol w:w="3024"/>
        <w:gridCol w:w="237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5"/>
          </w:tcPr>
          <w:p w:rsidR="00380734" w:rsidRPr="0090083A" w:rsidRDefault="00380734" w:rsidP="007B0547">
            <w:pPr>
              <w:pStyle w:val="1"/>
              <w:rPr>
                <w:b w:val="0"/>
                <w:sz w:val="28"/>
                <w:szCs w:val="28"/>
                <w:lang w:val="ru-RU"/>
              </w:rPr>
            </w:pPr>
            <w:r w:rsidRPr="00FA36F0">
              <w:rPr>
                <w:b w:val="0"/>
                <w:sz w:val="28"/>
                <w:szCs w:val="28"/>
                <w:lang w:val="ru-RU"/>
              </w:rPr>
              <w:t>Паспорт</w:t>
            </w:r>
            <w:r w:rsidRPr="00FA36F0">
              <w:rPr>
                <w:b w:val="0"/>
                <w:sz w:val="28"/>
                <w:szCs w:val="28"/>
                <w:lang w:val="ru-RU"/>
              </w:rPr>
              <w:br/>
              <w:t xml:space="preserve">муниципальной </w:t>
            </w:r>
            <w:r w:rsidR="00AE512B" w:rsidRPr="00FA36F0">
              <w:rPr>
                <w:b w:val="0"/>
                <w:sz w:val="28"/>
                <w:szCs w:val="28"/>
                <w:lang w:val="ru-RU"/>
              </w:rPr>
              <w:t>программы сельского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 w:rsidRPr="00FA36F0">
              <w:rPr>
                <w:b w:val="0"/>
                <w:sz w:val="28"/>
                <w:szCs w:val="28"/>
                <w:lang w:val="ru-RU"/>
              </w:rPr>
              <w:t>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4</w:t>
            </w:r>
            <w:r w:rsidR="00C05EB5" w:rsidRPr="00FA36F0">
              <w:rPr>
                <w:b w:val="0"/>
                <w:sz w:val="28"/>
                <w:szCs w:val="28"/>
                <w:lang w:val="ru-RU"/>
              </w:rPr>
              <w:t>-202</w:t>
            </w:r>
            <w:r w:rsidR="007B0547" w:rsidRPr="007B0547">
              <w:rPr>
                <w:b w:val="0"/>
                <w:sz w:val="28"/>
                <w:szCs w:val="28"/>
                <w:lang w:val="ru-RU"/>
              </w:rPr>
              <w:t>6</w:t>
            </w:r>
            <w:r w:rsidRPr="00FA36F0">
              <w:rPr>
                <w:b w:val="0"/>
                <w:sz w:val="28"/>
                <w:szCs w:val="28"/>
                <w:lang w:val="ru-RU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4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FD7A9E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3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080547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80547">
              <w:rPr>
                <w:rFonts w:ascii="Times New Roman" w:hAnsi="Times New Roman"/>
                <w:sz w:val="28"/>
                <w:szCs w:val="28"/>
              </w:rPr>
              <w:t>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5C1C65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7C4ACF" w:rsidRDefault="00646883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4ACF"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защита жизни и здоровья граждан, обеспечения надлежащего состояния источников 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15" w:type="dxa"/>
            <w:gridSpan w:val="4"/>
          </w:tcPr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оличество проведенных технических обслуживаний систем уличного оповещения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видеокамер;</w:t>
            </w:r>
          </w:p>
          <w:p w:rsidR="00D77137" w:rsidRDefault="00D7713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установленных противопожарных гидрантов;</w:t>
            </w:r>
          </w:p>
          <w:p w:rsidR="00D77137" w:rsidRDefault="00D77137" w:rsidP="00D771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-количество застрахованных гидротехнических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сооружений;</w:t>
            </w:r>
          </w:p>
          <w:p w:rsidR="00646883" w:rsidRDefault="00AE2701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>етенных предупреждающих табличек;</w:t>
            </w:r>
          </w:p>
          <w:p w:rsidR="00812ECA" w:rsidRPr="00812ECA" w:rsidRDefault="00812ECA" w:rsidP="00D771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-</w:t>
            </w:r>
            <w:r w:rsidR="00D77137">
              <w:rPr>
                <w:rFonts w:ascii="Times New Roman" w:hAnsi="Times New Roman"/>
                <w:sz w:val="28"/>
                <w:szCs w:val="28"/>
              </w:rPr>
              <w:t xml:space="preserve"> Количество разработанных </w:t>
            </w:r>
            <w:r w:rsidRPr="00812ECA">
              <w:rPr>
                <w:rFonts w:ascii="Times New Roman" w:hAnsi="Times New Roman"/>
                <w:sz w:val="28"/>
                <w:szCs w:val="28"/>
              </w:rPr>
              <w:t>расчетов вероятного вреда для дамб</w:t>
            </w:r>
            <w:r w:rsidR="00FA36F0">
              <w:rPr>
                <w:rFonts w:ascii="Times New Roman" w:hAnsi="Times New Roman"/>
              </w:rPr>
              <w:t>;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7B05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90083A">
              <w:rPr>
                <w:rFonts w:ascii="Times New Roman" w:hAnsi="Times New Roman"/>
                <w:sz w:val="28"/>
                <w:szCs w:val="28"/>
              </w:rPr>
              <w:t>999,6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0083A">
              <w:rPr>
                <w:rFonts w:ascii="Times New Roman" w:hAnsi="Times New Roman"/>
                <w:sz w:val="28"/>
                <w:szCs w:val="28"/>
              </w:rPr>
              <w:t>28</w:t>
            </w:r>
            <w:r w:rsidR="00075264">
              <w:rPr>
                <w:rFonts w:ascii="Times New Roman" w:hAnsi="Times New Roman"/>
                <w:sz w:val="28"/>
                <w:szCs w:val="28"/>
              </w:rPr>
              <w:t>9,6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7B0547" w:rsidRDefault="00380734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90083A">
              <w:rPr>
                <w:rFonts w:ascii="Times New Roman" w:hAnsi="Times New Roman"/>
                <w:sz w:val="28"/>
                <w:szCs w:val="28"/>
                <w:lang w:eastAsia="en-US"/>
              </w:rPr>
              <w:t>999,6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7B05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</w:t>
            </w:r>
            <w:r w:rsidR="007B0547">
              <w:rPr>
                <w:rFonts w:ascii="Times New Roman" w:hAnsi="Times New Roman"/>
                <w:sz w:val="28"/>
                <w:szCs w:val="28"/>
              </w:rPr>
              <w:t>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0083A">
              <w:rPr>
                <w:rFonts w:ascii="Times New Roman" w:hAnsi="Times New Roman"/>
                <w:sz w:val="28"/>
                <w:szCs w:val="28"/>
              </w:rPr>
              <w:t>289</w:t>
            </w:r>
            <w:r w:rsidR="003E5930">
              <w:rPr>
                <w:rFonts w:ascii="Times New Roman" w:hAnsi="Times New Roman"/>
                <w:sz w:val="28"/>
                <w:szCs w:val="28"/>
              </w:rPr>
              <w:t>,</w:t>
            </w:r>
            <w:r w:rsidR="00075264">
              <w:rPr>
                <w:rFonts w:ascii="Times New Roman" w:hAnsi="Times New Roman"/>
                <w:sz w:val="28"/>
                <w:szCs w:val="28"/>
              </w:rPr>
              <w:t>6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4A6C1A" w:rsidP="007B0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A55AC">
              <w:rPr>
                <w:rFonts w:ascii="Times New Roman" w:hAnsi="Times New Roman"/>
                <w:sz w:val="28"/>
                <w:szCs w:val="28"/>
              </w:rPr>
              <w:t>20</w:t>
            </w:r>
            <w:r w:rsidR="007B0547">
              <w:rPr>
                <w:rFonts w:ascii="Times New Roman" w:hAnsi="Times New Roman"/>
                <w:sz w:val="28"/>
                <w:szCs w:val="28"/>
              </w:rPr>
              <w:t>25</w:t>
            </w:r>
            <w:r w:rsidR="00BA55AC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46883">
              <w:rPr>
                <w:rFonts w:ascii="Times New Roman" w:hAnsi="Times New Roman"/>
                <w:sz w:val="28"/>
                <w:szCs w:val="28"/>
              </w:rPr>
              <w:t>355,0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4A6C1A" w:rsidP="007B0547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</w:t>
            </w:r>
            <w:r w:rsidR="00960B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7B05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468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355,0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7B0547" w:rsidRPr="007B0547" w:rsidRDefault="007B0547" w:rsidP="007B0547">
            <w:pPr>
              <w:rPr>
                <w:lang w:eastAsia="en-US"/>
              </w:rPr>
            </w:pPr>
          </w:p>
        </w:tc>
      </w:tr>
      <w:tr w:rsidR="00380734" w:rsidRPr="00DA087F" w:rsidTr="00646883">
        <w:trPr>
          <w:gridAfter w:val="1"/>
          <w:wAfter w:w="107" w:type="dxa"/>
        </w:trPr>
        <w:tc>
          <w:tcPr>
            <w:tcW w:w="3024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615" w:type="dxa"/>
            <w:gridSpan w:val="4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 xml:space="preserve"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</w:t>
      </w:r>
      <w:r w:rsidRPr="00E36E7E">
        <w:rPr>
          <w:rStyle w:val="spfo1"/>
          <w:rFonts w:ascii="Times New Roman" w:hAnsi="Times New Roman"/>
          <w:sz w:val="28"/>
          <w:szCs w:val="28"/>
        </w:rPr>
        <w:lastRenderedPageBreak/>
        <w:t>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 xml:space="preserve">Безопасность жизнедеятельности представляет собой комфортное и </w:t>
      </w:r>
      <w:proofErr w:type="spellStart"/>
      <w:r w:rsidRPr="00B62B50">
        <w:rPr>
          <w:rStyle w:val="spfo1"/>
          <w:rFonts w:ascii="Times New Roman" w:hAnsi="Times New Roman"/>
          <w:sz w:val="28"/>
          <w:szCs w:val="28"/>
        </w:rPr>
        <w:t>травмобезопасное</w:t>
      </w:r>
      <w:proofErr w:type="spellEnd"/>
      <w:r w:rsidRPr="00B62B50">
        <w:rPr>
          <w:rStyle w:val="spfo1"/>
          <w:rFonts w:ascii="Times New Roman" w:hAnsi="Times New Roman"/>
          <w:sz w:val="28"/>
          <w:szCs w:val="28"/>
        </w:rPr>
        <w:t xml:space="preserve">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D77137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D77137" w:rsidRDefault="00D77137" w:rsidP="00D7713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-предупреждение и ликвидация стихийных бедствий;</w:t>
      </w:r>
    </w:p>
    <w:p w:rsidR="00D77137" w:rsidRDefault="00D77137" w:rsidP="00D7713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7F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на территории сельского поселения Кубанец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t>-</w:t>
      </w:r>
      <w:r w:rsidRPr="005C1C65">
        <w:rPr>
          <w:rFonts w:ascii="Times New Roman" w:hAnsi="Times New Roman"/>
          <w:sz w:val="28"/>
          <w:szCs w:val="28"/>
        </w:rPr>
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</w:r>
    </w:p>
    <w:p w:rsidR="00D77137" w:rsidRPr="00C05EB5" w:rsidRDefault="00D77137" w:rsidP="00D7713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D77137" w:rsidRPr="005C1C65" w:rsidRDefault="00D77137" w:rsidP="00D77137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/>
          <w:sz w:val="28"/>
          <w:szCs w:val="28"/>
        </w:rPr>
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D77137" w:rsidRDefault="00D77137" w:rsidP="00D771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8054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080547">
        <w:rPr>
          <w:rFonts w:ascii="Times New Roman" w:hAnsi="Times New Roman"/>
          <w:sz w:val="28"/>
          <w:szCs w:val="28"/>
        </w:rPr>
        <w:t>дств дл</w:t>
      </w:r>
      <w:proofErr w:type="gramEnd"/>
      <w:r w:rsidRPr="00080547">
        <w:rPr>
          <w:rFonts w:ascii="Times New Roman" w:hAnsi="Times New Roman"/>
          <w:sz w:val="28"/>
          <w:szCs w:val="28"/>
        </w:rPr>
        <w:t>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lastRenderedPageBreak/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5C1C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C1C65">
        <w:rPr>
          <w:rFonts w:ascii="Times New Roman" w:hAnsi="Times New Roman"/>
          <w:sz w:val="28"/>
          <w:szCs w:val="28"/>
        </w:rPr>
        <w:t xml:space="preserve"> ситуацией поддержания правопорядка, координация функционирования инфраструктуры служб жизнеобеспечения;</w:t>
      </w:r>
    </w:p>
    <w:p w:rsidR="00D77137" w:rsidRDefault="00380734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мер, принимаемых для охраны общественного порядка и обеспечения общественной безопасности;</w:t>
      </w:r>
    </w:p>
    <w:p w:rsid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-реализация функций, связанных с обеспечением безопасности населения, решением задач по предупреждению и ликвидации чрезвычайных ситуаций;</w:t>
      </w:r>
    </w:p>
    <w:p w:rsidR="00D77137" w:rsidRPr="00D77137" w:rsidRDefault="00D77137" w:rsidP="00D771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80547">
        <w:rPr>
          <w:rFonts w:ascii="Times New Roman" w:hAnsi="Times New Roman"/>
          <w:sz w:val="28"/>
          <w:szCs w:val="28"/>
        </w:rPr>
        <w:t>защита жизни и здоровья граждан, обеспечения надлежащего состояния источников противопожарного водоснабжения.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7B0547">
        <w:rPr>
          <w:szCs w:val="28"/>
        </w:rPr>
        <w:t>4</w:t>
      </w:r>
      <w:r w:rsidR="00960B1F">
        <w:rPr>
          <w:szCs w:val="28"/>
        </w:rPr>
        <w:t>-202</w:t>
      </w:r>
      <w:r w:rsidR="007B0547">
        <w:rPr>
          <w:szCs w:val="28"/>
        </w:rPr>
        <w:t>6</w:t>
      </w:r>
      <w:r w:rsidR="00960B1F">
        <w:rPr>
          <w:szCs w:val="28"/>
        </w:rPr>
        <w:t xml:space="preserve">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3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3969"/>
        <w:gridCol w:w="1701"/>
        <w:gridCol w:w="1276"/>
        <w:gridCol w:w="1276"/>
        <w:gridCol w:w="141"/>
        <w:gridCol w:w="72"/>
        <w:gridCol w:w="1041"/>
      </w:tblGrid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7B05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D77137" w:rsidP="00A531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и территории поселения»</w:t>
            </w:r>
          </w:p>
        </w:tc>
      </w:tr>
      <w:tr w:rsidR="00380734" w:rsidRPr="00A87917" w:rsidTr="002B345F">
        <w:trPr>
          <w:trHeight w:val="1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2B345F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D77137" w:rsidP="003026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960B1F"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E5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E5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2B345F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D77137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показатель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3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83CE0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2B345F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2B345F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8239CB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96596" w:rsidRPr="00A87917" w:rsidTr="002B345F"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2B345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796596"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3E5930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5311F" w:rsidRPr="00A87917" w:rsidTr="002B345F">
        <w:trPr>
          <w:trHeight w:val="1546"/>
        </w:trPr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5311F" w:rsidRPr="00A87917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Default="002B345F" w:rsidP="00A5311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Целевой показател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ь-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A5311F" w:rsidRPr="00A87917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</w:p>
          <w:p w:rsidR="00A5311F" w:rsidRPr="002B345F" w:rsidRDefault="00A5311F" w:rsidP="002B345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предупреждающих табличе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A531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A5311F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3E59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5311F" w:rsidRPr="00A87917" w:rsidRDefault="00C11EA3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5311F" w:rsidRPr="00A87917" w:rsidTr="002B345F">
        <w:trPr>
          <w:trHeight w:val="80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5311F" w:rsidRPr="00A442D8" w:rsidRDefault="00A5311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311F" w:rsidRPr="00A87917" w:rsidRDefault="00A5311F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F56" w:rsidRPr="00A87917" w:rsidTr="002B345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56" w:rsidRPr="00A442D8" w:rsidRDefault="002B345F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2B345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Целевой показатель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 w:rsidR="00E21F5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E21F56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0C3E7E">
              <w:rPr>
                <w:rFonts w:ascii="Times New Roman" w:hAnsi="Times New Roman"/>
                <w:sz w:val="28"/>
                <w:szCs w:val="28"/>
              </w:rPr>
              <w:t>разработанных расчетов вероятного вреда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90083A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0C3E7E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F56" w:rsidRDefault="0090083A" w:rsidP="003E593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AB3BD1">
        <w:rPr>
          <w:rFonts w:ascii="Times New Roman" w:hAnsi="Times New Roman" w:cs="Times New Roman"/>
          <w:sz w:val="28"/>
          <w:szCs w:val="28"/>
        </w:rPr>
        <w:t>1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AB3BD1">
        <w:rPr>
          <w:rFonts w:ascii="Times New Roman" w:hAnsi="Times New Roman" w:cs="Times New Roman"/>
          <w:sz w:val="28"/>
          <w:szCs w:val="28"/>
        </w:rPr>
        <w:t>ое</w:t>
      </w:r>
      <w:r w:rsidRPr="00F918D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B3BD1">
        <w:rPr>
          <w:rFonts w:ascii="Times New Roman" w:hAnsi="Times New Roman" w:cs="Times New Roman"/>
          <w:sz w:val="28"/>
          <w:szCs w:val="28"/>
        </w:rPr>
        <w:t>е</w:t>
      </w:r>
      <w:r w:rsidR="00AB3BD1" w:rsidRPr="00AB3BD1">
        <w:rPr>
          <w:rFonts w:ascii="Times New Roman" w:hAnsi="Times New Roman"/>
        </w:rPr>
        <w:t xml:space="preserve"> </w:t>
      </w:r>
      <w:r w:rsidR="00AB3BD1">
        <w:rPr>
          <w:rFonts w:ascii="Times New Roman" w:hAnsi="Times New Roman"/>
        </w:rPr>
        <w:t>«</w:t>
      </w:r>
      <w:r w:rsidR="00AB3BD1" w:rsidRPr="00AB3BD1">
        <w:rPr>
          <w:rFonts w:ascii="Times New Roman" w:hAnsi="Times New Roman"/>
          <w:sz w:val="28"/>
          <w:szCs w:val="28"/>
        </w:rPr>
        <w:t>Обеспечение безопасности</w:t>
      </w:r>
      <w:r w:rsidR="00AB3BD1">
        <w:rPr>
          <w:rFonts w:ascii="Times New Roman" w:hAnsi="Times New Roman" w:cs="Times New Roman"/>
          <w:sz w:val="28"/>
          <w:szCs w:val="28"/>
        </w:rPr>
        <w:t>», которое включает в себя следующие мероприятия:</w:t>
      </w:r>
    </w:p>
    <w:p w:rsidR="00380734" w:rsidRPr="00F918D2" w:rsidRDefault="004A6C1A" w:rsidP="00873A43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 Мероприятие № 1 «П</w:t>
      </w:r>
      <w:r w:rsidR="00380734" w:rsidRPr="00F918D2">
        <w:rPr>
          <w:szCs w:val="28"/>
        </w:rPr>
        <w:t>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</w:r>
      <w:r>
        <w:rPr>
          <w:szCs w:val="28"/>
        </w:rPr>
        <w:t>»</w:t>
      </w:r>
      <w:r w:rsidR="00380734" w:rsidRPr="00F918D2">
        <w:rPr>
          <w:szCs w:val="28"/>
        </w:rPr>
        <w:t>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AE512B" w:rsidRPr="00AE512B">
        <w:rPr>
          <w:sz w:val="24"/>
          <w:szCs w:val="24"/>
        </w:rPr>
        <w:t xml:space="preserve"> </w:t>
      </w:r>
      <w:r w:rsidR="004A6C1A" w:rsidRPr="004A6C1A">
        <w:rPr>
          <w:szCs w:val="28"/>
        </w:rPr>
        <w:t>Мероприятие № 2</w:t>
      </w:r>
      <w:r w:rsidR="004A6C1A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4A6C1A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 w:rsidR="004A6C1A">
        <w:rPr>
          <w:szCs w:val="28"/>
        </w:rPr>
        <w:t xml:space="preserve">Мероприятие № 3 </w:t>
      </w:r>
      <w:r>
        <w:rPr>
          <w:szCs w:val="28"/>
        </w:rPr>
        <w:t>«</w:t>
      </w:r>
      <w:r w:rsidR="004A6C1A">
        <w:rPr>
          <w:szCs w:val="28"/>
        </w:rPr>
        <w:t xml:space="preserve">Приобретение и установка </w:t>
      </w:r>
      <w:r>
        <w:rPr>
          <w:szCs w:val="28"/>
        </w:rPr>
        <w:t>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4 </w:t>
      </w:r>
      <w:r>
        <w:rPr>
          <w:szCs w:val="28"/>
        </w:rPr>
        <w:t>«</w:t>
      </w:r>
      <w:r w:rsidR="00A737DA">
        <w:rPr>
          <w:szCs w:val="28"/>
        </w:rPr>
        <w:t>Страхование гидротехнических сооружений (дамб)</w:t>
      </w:r>
      <w:r w:rsidR="004A6C1A">
        <w:rPr>
          <w:szCs w:val="28"/>
        </w:rPr>
        <w:t>.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A6C1A">
        <w:rPr>
          <w:szCs w:val="28"/>
        </w:rPr>
        <w:t xml:space="preserve">Мероприятие № 5 </w:t>
      </w:r>
      <w:r>
        <w:rPr>
          <w:szCs w:val="28"/>
        </w:rPr>
        <w:t>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</w:t>
      </w:r>
      <w:r w:rsidR="004A6C1A">
        <w:rPr>
          <w:szCs w:val="28"/>
        </w:rPr>
        <w:t>овышение безопасности населения.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="004A6C1A">
        <w:rPr>
          <w:szCs w:val="28"/>
        </w:rPr>
        <w:t xml:space="preserve"> Мероприятие № 6 </w:t>
      </w:r>
      <w:r>
        <w:rPr>
          <w:szCs w:val="28"/>
        </w:rPr>
        <w:t>«Расчет вероятного вреда»</w:t>
      </w:r>
    </w:p>
    <w:p w:rsidR="000C3E7E" w:rsidRDefault="000C3E7E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Мероприятие предусматривает разработку расчета вероятного вреда, который может быть причинен жизни, здоровью физических лиц, </w:t>
      </w:r>
      <w:r>
        <w:rPr>
          <w:szCs w:val="28"/>
        </w:rPr>
        <w:lastRenderedPageBreak/>
        <w:t>имуществу физических и юридических лиц в результате аварии гид</w:t>
      </w:r>
      <w:r w:rsidR="004A6C1A">
        <w:rPr>
          <w:szCs w:val="28"/>
        </w:rPr>
        <w:t>ротехнических сооружений (ГТС).</w:t>
      </w: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418"/>
        <w:gridCol w:w="1276"/>
        <w:gridCol w:w="1417"/>
        <w:gridCol w:w="1559"/>
      </w:tblGrid>
      <w:tr w:rsidR="00380734" w:rsidRPr="00DA087F" w:rsidTr="00A5311F">
        <w:tc>
          <w:tcPr>
            <w:tcW w:w="4253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380734" w:rsidRPr="00E43E35" w:rsidRDefault="00380734" w:rsidP="00A5311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31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A5311F">
        <w:trPr>
          <w:trHeight w:val="1325"/>
        </w:trPr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276" w:type="dxa"/>
            <w:vAlign w:val="center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  <w:vAlign w:val="center"/>
          </w:tcPr>
          <w:p w:rsidR="00380734" w:rsidRPr="00DA087F" w:rsidRDefault="004A6C1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59" w:type="dxa"/>
            <w:vAlign w:val="center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380734" w:rsidRPr="00DA087F" w:rsidRDefault="004A6C1A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380734" w:rsidRPr="00DA087F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380734" w:rsidRPr="00DA087F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83CE0" w:rsidRPr="00DA087F" w:rsidTr="00A5311F">
        <w:tc>
          <w:tcPr>
            <w:tcW w:w="4253" w:type="dxa"/>
          </w:tcPr>
          <w:p w:rsidR="00483CE0" w:rsidRPr="00237802" w:rsidRDefault="00483CE0" w:rsidP="004A6C1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A6C1A">
              <w:rPr>
                <w:rFonts w:ascii="Times New Roman" w:hAnsi="Times New Roman" w:cs="Times New Roman"/>
                <w:sz w:val="28"/>
                <w:szCs w:val="28"/>
              </w:rPr>
              <w:t>Приобретение и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становка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418" w:type="dxa"/>
          </w:tcPr>
          <w:p w:rsidR="00483CE0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83CE0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483CE0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A5311F">
        <w:tc>
          <w:tcPr>
            <w:tcW w:w="4253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418" w:type="dxa"/>
          </w:tcPr>
          <w:p w:rsidR="00873A43" w:rsidRDefault="003E5930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</w:t>
            </w:r>
            <w:r w:rsidR="000752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873A43" w:rsidRDefault="003E593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</w:t>
            </w:r>
            <w:r w:rsidR="000752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873A43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1559" w:type="dxa"/>
          </w:tcPr>
          <w:p w:rsidR="00873A43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AE2701" w:rsidRPr="00DA087F" w:rsidTr="00A5311F">
        <w:tc>
          <w:tcPr>
            <w:tcW w:w="4253" w:type="dxa"/>
          </w:tcPr>
          <w:p w:rsidR="00AE2701" w:rsidRPr="00873A43" w:rsidRDefault="00502CCC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5</w:t>
            </w:r>
            <w:r w:rsidR="00AE2701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418" w:type="dxa"/>
          </w:tcPr>
          <w:p w:rsidR="00AE2701" w:rsidRDefault="004A6C1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AE2701" w:rsidRDefault="004A6C1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02CCC" w:rsidRPr="00DA087F" w:rsidTr="00A5311F">
        <w:tc>
          <w:tcPr>
            <w:tcW w:w="4253" w:type="dxa"/>
          </w:tcPr>
          <w:p w:rsidR="00502CCC" w:rsidRDefault="00502CCC" w:rsidP="00D9402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</w:t>
            </w:r>
            <w:r w:rsidR="00D9402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«Расчет вероятного вреда»</w:t>
            </w:r>
          </w:p>
        </w:tc>
        <w:tc>
          <w:tcPr>
            <w:tcW w:w="1418" w:type="dxa"/>
          </w:tcPr>
          <w:p w:rsidR="00502CCC" w:rsidRDefault="0090083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276" w:type="dxa"/>
          </w:tcPr>
          <w:p w:rsidR="00502CCC" w:rsidRDefault="0090083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417" w:type="dxa"/>
          </w:tcPr>
          <w:p w:rsidR="00502CCC" w:rsidRDefault="004A6C1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502CCC" w:rsidRDefault="004A6C1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380734" w:rsidRPr="00DA087F" w:rsidTr="00A5311F">
        <w:tc>
          <w:tcPr>
            <w:tcW w:w="4253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</w:tcPr>
          <w:p w:rsidR="00380734" w:rsidRPr="00DA087F" w:rsidRDefault="0090083A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999,6</w:t>
            </w:r>
          </w:p>
        </w:tc>
        <w:tc>
          <w:tcPr>
            <w:tcW w:w="1276" w:type="dxa"/>
          </w:tcPr>
          <w:p w:rsidR="00380734" w:rsidRPr="00DA087F" w:rsidRDefault="0090083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289,6</w:t>
            </w:r>
          </w:p>
        </w:tc>
        <w:tc>
          <w:tcPr>
            <w:tcW w:w="1417" w:type="dxa"/>
          </w:tcPr>
          <w:p w:rsidR="00380734" w:rsidRPr="00DA087F" w:rsidRDefault="00C11EA3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  <w:tc>
          <w:tcPr>
            <w:tcW w:w="1559" w:type="dxa"/>
          </w:tcPr>
          <w:p w:rsidR="00380734" w:rsidRPr="00DA087F" w:rsidRDefault="00C11EA3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355,0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502CCC">
        <w:rPr>
          <w:rFonts w:ascii="Times New Roman" w:hAnsi="Times New Roman"/>
          <w:bCs/>
          <w:sz w:val="28"/>
          <w:szCs w:val="28"/>
        </w:rPr>
        <w:t>02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августа 20</w:t>
      </w:r>
      <w:r w:rsidR="00502CCC">
        <w:rPr>
          <w:rFonts w:ascii="Times New Roman" w:hAnsi="Times New Roman"/>
          <w:bCs/>
          <w:sz w:val="28"/>
          <w:szCs w:val="28"/>
        </w:rPr>
        <w:t>21</w:t>
      </w:r>
      <w:r w:rsidR="00502CCC" w:rsidRPr="001012E8">
        <w:rPr>
          <w:rFonts w:ascii="Times New Roman" w:hAnsi="Times New Roman"/>
          <w:bCs/>
          <w:sz w:val="28"/>
          <w:szCs w:val="28"/>
        </w:rPr>
        <w:t xml:space="preserve"> года</w:t>
      </w:r>
      <w:proofErr w:type="gramEnd"/>
      <w:r w:rsidR="00502CCC" w:rsidRPr="001012E8">
        <w:rPr>
          <w:rFonts w:ascii="Times New Roman" w:hAnsi="Times New Roman"/>
          <w:bCs/>
          <w:sz w:val="28"/>
          <w:szCs w:val="28"/>
        </w:rPr>
        <w:t xml:space="preserve"> №</w:t>
      </w:r>
      <w:r w:rsidR="00502CCC">
        <w:rPr>
          <w:rFonts w:ascii="Times New Roman" w:hAnsi="Times New Roman"/>
          <w:bCs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5149BC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149BC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</w:t>
      </w:r>
      <w:r w:rsidRPr="00784A54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513AF"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</w:t>
      </w:r>
      <w:proofErr w:type="gramEnd"/>
      <w:r w:rsidRPr="004513AF"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A9E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FD7A9E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9F23C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73D"/>
    <w:rsid w:val="00003B88"/>
    <w:rsid w:val="0000507E"/>
    <w:rsid w:val="00016022"/>
    <w:rsid w:val="00024FAF"/>
    <w:rsid w:val="00026517"/>
    <w:rsid w:val="00031E8B"/>
    <w:rsid w:val="00060820"/>
    <w:rsid w:val="0006385A"/>
    <w:rsid w:val="00075264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B7732"/>
    <w:rsid w:val="000C230C"/>
    <w:rsid w:val="000C3E7E"/>
    <w:rsid w:val="000C5356"/>
    <w:rsid w:val="000D5DFB"/>
    <w:rsid w:val="000D606F"/>
    <w:rsid w:val="000D795F"/>
    <w:rsid w:val="000F2A09"/>
    <w:rsid w:val="000F453B"/>
    <w:rsid w:val="001015CC"/>
    <w:rsid w:val="001115D0"/>
    <w:rsid w:val="001163AD"/>
    <w:rsid w:val="00117A5F"/>
    <w:rsid w:val="001207E3"/>
    <w:rsid w:val="00132203"/>
    <w:rsid w:val="00132C51"/>
    <w:rsid w:val="00132E99"/>
    <w:rsid w:val="00137000"/>
    <w:rsid w:val="00144BC8"/>
    <w:rsid w:val="001630DE"/>
    <w:rsid w:val="00172D1C"/>
    <w:rsid w:val="00172F79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345F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76C02"/>
    <w:rsid w:val="00380734"/>
    <w:rsid w:val="003807AB"/>
    <w:rsid w:val="00385E6E"/>
    <w:rsid w:val="00390D6F"/>
    <w:rsid w:val="003928F7"/>
    <w:rsid w:val="00393E2A"/>
    <w:rsid w:val="003A14EC"/>
    <w:rsid w:val="003E3ED6"/>
    <w:rsid w:val="003E5930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15B4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A6C1A"/>
    <w:rsid w:val="004B2EA9"/>
    <w:rsid w:val="00502CCC"/>
    <w:rsid w:val="00503F6D"/>
    <w:rsid w:val="005063A5"/>
    <w:rsid w:val="00506C0D"/>
    <w:rsid w:val="005078C7"/>
    <w:rsid w:val="00513792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445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46883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0C6E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67A95"/>
    <w:rsid w:val="00781730"/>
    <w:rsid w:val="0078195D"/>
    <w:rsid w:val="00784A54"/>
    <w:rsid w:val="007864DE"/>
    <w:rsid w:val="00796596"/>
    <w:rsid w:val="00797843"/>
    <w:rsid w:val="007A4458"/>
    <w:rsid w:val="007A7926"/>
    <w:rsid w:val="007B0547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7E72D7"/>
    <w:rsid w:val="00803720"/>
    <w:rsid w:val="00804B1A"/>
    <w:rsid w:val="00804EA2"/>
    <w:rsid w:val="00812ECA"/>
    <w:rsid w:val="0081551E"/>
    <w:rsid w:val="00816C40"/>
    <w:rsid w:val="008239CB"/>
    <w:rsid w:val="00833DE2"/>
    <w:rsid w:val="00837304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47DA"/>
    <w:rsid w:val="008A719D"/>
    <w:rsid w:val="008B2749"/>
    <w:rsid w:val="008C2EA8"/>
    <w:rsid w:val="008E3D4C"/>
    <w:rsid w:val="008E4BA9"/>
    <w:rsid w:val="0090083A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3D18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11F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3BD1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1564"/>
    <w:rsid w:val="00C039D0"/>
    <w:rsid w:val="00C05EB5"/>
    <w:rsid w:val="00C06C91"/>
    <w:rsid w:val="00C11EA3"/>
    <w:rsid w:val="00C15F53"/>
    <w:rsid w:val="00C26630"/>
    <w:rsid w:val="00C27494"/>
    <w:rsid w:val="00C300BD"/>
    <w:rsid w:val="00C3535B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0225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77137"/>
    <w:rsid w:val="00D94022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C65B1"/>
    <w:rsid w:val="00DD01F5"/>
    <w:rsid w:val="00DF73BF"/>
    <w:rsid w:val="00E1068B"/>
    <w:rsid w:val="00E21F56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36F0"/>
    <w:rsid w:val="00FA4219"/>
    <w:rsid w:val="00FC56DD"/>
    <w:rsid w:val="00FD2557"/>
    <w:rsid w:val="00FD7A9E"/>
    <w:rsid w:val="00FE0B16"/>
    <w:rsid w:val="00FE7DC9"/>
    <w:rsid w:val="00FF07DA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0"/>
      <w:szCs w:val="20"/>
      <w:lang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sz w:val="20"/>
      <w:szCs w:val="20"/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FF647-3BC7-443A-9127-2A3BBCD9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kub2</cp:lastModifiedBy>
  <cp:revision>245</cp:revision>
  <cp:lastPrinted>2024-06-13T05:57:00Z</cp:lastPrinted>
  <dcterms:created xsi:type="dcterms:W3CDTF">2014-08-11T08:14:00Z</dcterms:created>
  <dcterms:modified xsi:type="dcterms:W3CDTF">2024-06-13T05:57:00Z</dcterms:modified>
</cp:coreProperties>
</file>